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35" w:rsidRPr="00115114" w:rsidRDefault="00F77F35" w:rsidP="00972136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Требования к современному уроку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Изменение парадигмы образования: от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знаниевой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к 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компетентностной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Изменение содержания образования и форм, приемов и методов, технологий.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Изменение педагогической позиции «ученик – учитель».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Формирование внутренних мотивов деятельности ученика.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Личностное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целеполагание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и личностное содержание материала.</w:t>
      </w:r>
    </w:p>
    <w:p w:rsidR="00923837" w:rsidRPr="00115114" w:rsidRDefault="00645A66" w:rsidP="0097213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Рефлексия результатов образовательной деятельности.</w:t>
      </w:r>
    </w:p>
    <w:p w:rsidR="00F77F35" w:rsidRPr="00115114" w:rsidRDefault="00F77F35" w:rsidP="00972136">
      <w:pPr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Учитель на современном уроке:</w:t>
      </w:r>
    </w:p>
    <w:p w:rsidR="00923837" w:rsidRPr="00115114" w:rsidRDefault="00645A66" w:rsidP="009721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  <w:t>учит детей определять границы своего знания, видеть проблему и ставить проблемные вопросы;</w:t>
      </w:r>
    </w:p>
    <w:p w:rsidR="00923837" w:rsidRPr="00115114" w:rsidRDefault="00645A66" w:rsidP="009721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  <w:t>учит детей осуществлять контроль и самооценку своей деятельности в соответствии с выработанными критериями;</w:t>
      </w:r>
    </w:p>
    <w:p w:rsidR="00F77F35" w:rsidRPr="00115114" w:rsidRDefault="00645A66" w:rsidP="009721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  <w:t>организует учебное сотрудничество детей, совместно - распределенную деятельность при решении учебных задач;</w:t>
      </w:r>
    </w:p>
    <w:p w:rsidR="00A01421" w:rsidRPr="00115114" w:rsidRDefault="00F77F35" w:rsidP="009721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6"/>
        </w:rPr>
        <w:t>создает условия для выстраивания ребенком индивидуальной траектории изучения предмета</w:t>
      </w:r>
    </w:p>
    <w:p w:rsidR="00F77F35" w:rsidRPr="00115114" w:rsidRDefault="00F77F35" w:rsidP="009721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Основные этапы деятельности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proofErr w:type="spellStart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Целеполагание</w:t>
      </w:r>
      <w:proofErr w:type="spellEnd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Планирование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Организация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Реализация целей и замыслов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Анализ (рефлексия)</w:t>
      </w:r>
    </w:p>
    <w:p w:rsidR="00923837" w:rsidRPr="00115114" w:rsidRDefault="00645A66" w:rsidP="009721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Контроль</w:t>
      </w:r>
    </w:p>
    <w:p w:rsidR="00F77F35" w:rsidRPr="00115114" w:rsidRDefault="00F77F35" w:rsidP="009721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Система дидактических принципов образования</w:t>
      </w:r>
    </w:p>
    <w:p w:rsidR="00923837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деятельности</w:t>
      </w:r>
    </w:p>
    <w:p w:rsidR="00923837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непрерывности</w:t>
      </w:r>
    </w:p>
    <w:p w:rsidR="00923837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целостности</w:t>
      </w:r>
    </w:p>
    <w:p w:rsidR="00923837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минимакса</w:t>
      </w:r>
    </w:p>
    <w:p w:rsidR="00923837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психологической комфортности</w:t>
      </w:r>
    </w:p>
    <w:p w:rsidR="00F77F35" w:rsidRPr="00115114" w:rsidRDefault="00645A66" w:rsidP="0097213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вариативности</w:t>
      </w:r>
      <w:r w:rsidR="00F77F35"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творчества</w:t>
      </w:r>
    </w:p>
    <w:p w:rsidR="00F77F35" w:rsidRPr="00115114" w:rsidRDefault="00F77F35" w:rsidP="00972136">
      <w:pPr>
        <w:spacing w:after="0" w:line="240" w:lineRule="auto"/>
        <w:jc w:val="center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Организация планирования урока</w:t>
      </w:r>
    </w:p>
    <w:p w:rsidR="00F77F35" w:rsidRPr="00115114" w:rsidRDefault="00F77F35" w:rsidP="00972136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Моделирование:</w:t>
      </w:r>
    </w:p>
    <w:p w:rsidR="00923837" w:rsidRPr="00115114" w:rsidRDefault="00645A66" w:rsidP="00972136">
      <w:pPr>
        <w:pStyle w:val="a3"/>
        <w:numPr>
          <w:ilvl w:val="0"/>
          <w:numId w:val="9"/>
        </w:numPr>
        <w:jc w:val="both"/>
        <w:rPr>
          <w:bCs/>
          <w:color w:val="244061" w:themeColor="accent1" w:themeShade="80"/>
        </w:rPr>
      </w:pPr>
      <w:r w:rsidRPr="00115114">
        <w:rPr>
          <w:rFonts w:eastAsia="+mn-ea"/>
          <w:bCs/>
          <w:color w:val="244061" w:themeColor="accent1" w:themeShade="80"/>
        </w:rPr>
        <w:t>процесс определения основных его параметров,  эскиз   урока, начальный этап перевода теории урока в практику.</w:t>
      </w:r>
    </w:p>
    <w:p w:rsidR="00F77F35" w:rsidRPr="00115114" w:rsidRDefault="00F77F35" w:rsidP="00972136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Проектирование:</w:t>
      </w:r>
    </w:p>
    <w:p w:rsidR="00923837" w:rsidRPr="00115114" w:rsidRDefault="00F77F35" w:rsidP="0097213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2. </w:t>
      </w:r>
      <w:r w:rsidR="00645A66"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этап разработки компонентов педагогического процесса (задач, принципов, содержания, методов, форм учебной деятельности).</w:t>
      </w:r>
    </w:p>
    <w:p w:rsidR="00F77F35" w:rsidRPr="00115114" w:rsidRDefault="00F77F35" w:rsidP="00972136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i/>
          <w:color w:val="244061" w:themeColor="accent1" w:themeShade="80"/>
          <w:sz w:val="24"/>
          <w:szCs w:val="24"/>
        </w:rPr>
        <w:t>Конструирование:</w:t>
      </w:r>
    </w:p>
    <w:p w:rsidR="00923837" w:rsidRPr="00115114" w:rsidRDefault="00F77F35" w:rsidP="0097213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3. </w:t>
      </w:r>
      <w:r w:rsidR="00645A66"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создание технологии обучения учащихся как процесса освоения ими учебного материала</w:t>
      </w:r>
    </w:p>
    <w:p w:rsidR="00F77F35" w:rsidRPr="00115114" w:rsidRDefault="00F77F35" w:rsidP="00972136">
      <w:p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     4.  </w:t>
      </w:r>
      <w:proofErr w:type="spellStart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Сценирование</w:t>
      </w:r>
      <w:proofErr w:type="spellEnd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образовательной ситуации  (обучение способам деятельности, при необходимости -  изменение плана урока в соответствии с вариантами непонимания и типами ошибок обучающихся)</w:t>
      </w:r>
    </w:p>
    <w:p w:rsidR="00F77F35" w:rsidRPr="00115114" w:rsidRDefault="00F77F35" w:rsidP="00972136">
      <w:pPr>
        <w:spacing w:after="0" w:line="240" w:lineRule="auto"/>
        <w:jc w:val="center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Типология урока</w:t>
      </w:r>
    </w:p>
    <w:p w:rsidR="00923837" w:rsidRPr="00115114" w:rsidRDefault="00645A66" w:rsidP="00972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Уроки «открытия- нового знания;</w:t>
      </w:r>
    </w:p>
    <w:p w:rsidR="00923837" w:rsidRPr="00115114" w:rsidRDefault="00645A66" w:rsidP="00972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Уроки рефлексии;</w:t>
      </w:r>
    </w:p>
    <w:p w:rsidR="00923837" w:rsidRPr="00115114" w:rsidRDefault="00645A66" w:rsidP="00972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Уроки </w:t>
      </w:r>
      <w:proofErr w:type="spellStart"/>
      <w:proofErr w:type="gramStart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общеметодологи</w:t>
      </w:r>
      <w:proofErr w:type="spellEnd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ческой</w:t>
      </w:r>
      <w:proofErr w:type="gramEnd"/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 xml:space="preserve"> направленности;</w:t>
      </w:r>
    </w:p>
    <w:p w:rsidR="00923837" w:rsidRPr="00115114" w:rsidRDefault="00645A66" w:rsidP="009721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>Уроки развивающего контроля.</w:t>
      </w:r>
      <w:r w:rsidRPr="00115114"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  <w:tab/>
        <w:t xml:space="preserve"> </w:t>
      </w:r>
    </w:p>
    <w:p w:rsidR="00F77F35" w:rsidRPr="00115114" w:rsidRDefault="00F77F35" w:rsidP="0097213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244061" w:themeColor="accent1" w:themeShade="80"/>
          <w:sz w:val="24"/>
          <w:szCs w:val="24"/>
        </w:rPr>
      </w:pPr>
    </w:p>
    <w:p w:rsidR="00F77F35" w:rsidRPr="00115114" w:rsidRDefault="00F77F35" w:rsidP="00972136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u w:val="single"/>
        </w:rPr>
        <w:t xml:space="preserve">Структура урока 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«открытия» нового знания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1)этап мотивации (самоопределения) к учебной деятельности;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2) этап актуализации и пробного учебного действия;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3) этап выявления места и причины затруднения;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4) этап построения проекта выхода из затруднения;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5) этап реализации построенного проекта;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6) этап первичного закрепления с проговариванием во внешней речи;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7) этап самостоятельной работы с самопроверкой по эталону;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8) этап включения в систему знаний и повторения; </w:t>
      </w:r>
    </w:p>
    <w:p w:rsidR="00923837" w:rsidRPr="00115114" w:rsidRDefault="00645A66" w:rsidP="00972136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9) этап рефлексии учебной деятельности на уроке.</w:t>
      </w:r>
    </w:p>
    <w:p w:rsidR="00F77F35" w:rsidRPr="00115114" w:rsidRDefault="00F77F35" w:rsidP="00972136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lastRenderedPageBreak/>
        <w:t>Уроки рефлексии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1) этап мотивации (самоопределения) к коррекционной деятельности;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2) этап актуализации и пробного учебного действия;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3) этап локализации индивидуальных затруднений;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4) этап построения проекта коррекции выявленных затруднений;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5) этап реализации построенного проекта;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6) этап обобщения затруднений во внешней речи;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7) этап самостоятельной работы с самопроверкой по эталону;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8) этап включения в систему знаний и повторения; </w:t>
      </w:r>
    </w:p>
    <w:p w:rsidR="00F77F35" w:rsidRPr="00115114" w:rsidRDefault="00F77F35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9) этап рефлексии учебной деятельности на уроке.</w:t>
      </w:r>
    </w:p>
    <w:p w:rsidR="00F77F35" w:rsidRPr="00115114" w:rsidRDefault="00F77F35" w:rsidP="00972136">
      <w:pPr>
        <w:spacing w:after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Уроки развивающего контроля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1) этап мотивации (самоопределения) к контрольно-коррекционной деятельности;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2) этап актуализации и пробного учебного действия;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3) этап локализации индивидуальных затруднений;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4) этап построения проекта коррекции выявленных затруднений;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5) этап реализации построенного проекта;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6) этап обобщения затруднений во внешней речи;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7) этап самостоятельной работы с самопроверкой по эталону;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8) этап решения заданий творческого уровня;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9) этап рефлексии контрольно-коррекционной деятельности. 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F77F35" w:rsidRPr="00115114" w:rsidRDefault="00F77F35" w:rsidP="00972136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  <w:t xml:space="preserve">Критерий: </w:t>
      </w:r>
      <w:proofErr w:type="spellStart"/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>диагностичность</w:t>
      </w:r>
      <w:proofErr w:type="spellEnd"/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 xml:space="preserve"> целей урока, предполагающих обучение и развитие; постановка цели учащимися</w:t>
      </w:r>
    </w:p>
    <w:p w:rsidR="00F77F35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0-й уровень (0 баллов)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– цель отсутствует в плане и на уроке</w:t>
      </w:r>
    </w:p>
    <w:p w:rsidR="00F77F35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1-й уровень (1 балл):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 ходе анализа урока названа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 обучающая, и развивающая цели урока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 </w:t>
      </w:r>
    </w:p>
    <w:p w:rsidR="00F77F35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2-й (4 балла):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цели сформулированы </w:t>
      </w:r>
      <w:proofErr w:type="spellStart"/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>диагностично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, измеримо (цель как ответ на вопрос: что должен научиться делать ученик на 45-минутном уроке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конкретном фрагменте учебного материала -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различать, получить, освоить, применить в стандартной или нестандартной ситуации - способ, понятие, модель, схему, алгоритм…)</w:t>
      </w:r>
    </w:p>
    <w:p w:rsidR="00F77F35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3-й (7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вовлечение учащихся в постановку, корректировку,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доуточнение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цели на уроке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,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обязательная организация понимания и принятия цели урока учащимися; мотивация её достижения</w:t>
      </w:r>
    </w:p>
    <w:p w:rsidR="00972136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4-й (сценарный уровень) (10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вовлечение учащихся на уроке в определение критериев достижения целей, смену целей при необходимости.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2136" w:rsidRPr="00115114" w:rsidRDefault="00972136" w:rsidP="00972136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  <w:t xml:space="preserve">Критерий: </w:t>
      </w: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>различение содержания учебного материала и содержания образования; моделирование учениками на уроке единицы содержания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1-й уровень (1 балл):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названы единица содержания образования и учебный материал (например, учебный материал – безударные гласные в </w:t>
      </w:r>
      <w:proofErr w:type="gram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корне слова</w:t>
      </w:r>
      <w:proofErr w:type="gram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, а единица содержания образования – способ, алгоритм выбора безударной  гласной в соответствии с правилом)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2-й (2 - 4 балла):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единица содержания не только названа на словах, но и наглядно представлена ее модель (схема, алгоритм, понятие, способ, различение); выделены все необходимые вспомогательные средства для ее освоения учениками на уроке (опорные знания, умения)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3-й (7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единица содержания на уроке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вместе с детьми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выделяется, обсуждается и моделируется в ходе рефлексии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4-й (сценарный уровень) (10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на уроке с учетом ошибок учеников учителем «включается» незапланированное содержание образования, которое оказалось недостающим для освоения запланированной единицы содержания образования (гибкое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досценирование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 возникшей образовательной ситуации содержание образования)</w:t>
      </w:r>
    </w:p>
    <w:p w:rsidR="00972136" w:rsidRPr="00115114" w:rsidRDefault="00972136" w:rsidP="0097213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</w:pPr>
    </w:p>
    <w:p w:rsidR="00972136" w:rsidRPr="00115114" w:rsidRDefault="00972136" w:rsidP="0097213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</w:pPr>
    </w:p>
    <w:p w:rsidR="00972136" w:rsidRPr="00115114" w:rsidRDefault="00972136" w:rsidP="00972136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  <w:lastRenderedPageBreak/>
        <w:t xml:space="preserve">Критерий: </w:t>
      </w: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>подбор учебного материала, способствующего освоению запланированной единицы содержания образования на основе собственной мотивации учащихся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1-й уровень (1 балл):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учитель подобрал учебный материал,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соответствующий целям урока, единице содержания и программным требованиям; отсутствие избыточности и недостаточности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подобранного учебного материала для раскрытия цели и единицы содержания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2-й уровень (3 балла):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: материал подобран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с учётом работы с мотивацией, интересом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учащихся (содержит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проблемность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, задачу-«ловушку», привлекаются аналогии, интересные или противоречивые факты, решения, позиции, дополнительные источники информации и т.п.)</w:t>
      </w:r>
      <w:proofErr w:type="gramEnd"/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3-й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уровень (1 балл</w:t>
      </w:r>
      <w:proofErr w:type="gramStart"/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: </w:t>
      </w:r>
      <w:proofErr w:type="gram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выстроенная структура, логика подачи учебного материала позволила учащимся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уроке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успешно осваивать запланированную единицу содержания образования на основе их мотивации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4-й (сценарный уровень) (10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уроке в случае незапланированных сбоев учащихся и, в связи с этим, необходимости освоения незапланированного содержания образования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учитель по ходу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импровизационно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конструирует, подбирает дополнительный учебный материал</w:t>
      </w:r>
    </w:p>
    <w:p w:rsidR="00923837" w:rsidRPr="00115114" w:rsidRDefault="00645A66" w:rsidP="00972136">
      <w:pPr>
        <w:spacing w:after="0"/>
        <w:ind w:left="36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  <w:t>Критерий</w:t>
      </w: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>: соответствие выбранной структуры урока цели урока и полной психологической структуре деятельности учащихся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proofErr w:type="gramStart"/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1-й уровень (1 балл):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соответствие запланированного набора этапов урока названным, а также цели урока</w:t>
      </w:r>
      <w:proofErr w:type="gramEnd"/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2-й (2 - 4 балла):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на уроке все запланированные этапы организованны до звонка, без выхода за пределы временных рамок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3-й (7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на уроке наблюдается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соответствие структуры урока полной психологической структуре деятельности учащихся: мотив – цель (учебная задача) – действия по ее решению – самоконтроль – самооценка – </w:t>
      </w:r>
      <w:proofErr w:type="spellStart"/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>самокоррекция</w:t>
      </w:r>
      <w:proofErr w:type="spellEnd"/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 (нет лишних или недостающих этапов)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4-й (сценарный уровень) (10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запланированная структура урока изменяется при необходимости в силу изменения ситуации на уроке (возврат к уже пройденным этапам, например, постановочному и мотивационному этапу, включение новых этапов, исключение каких-либо этапов и т.д.)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Примечание – все этапы, проведенные после звонка, проставляются баллом -  0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>Критерий: адекватность форм цели, обоснованность их выбора данными педагогической диагностики и рефлексии учащихся: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1-й уровень (1 балл):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выбранные формы обучения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адекватны поставленной цели урока и единице содержания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2-й уровень (3 балла):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выбор форм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обоснован данными педагогической диагностики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с предыдущих уроков 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>и детской рефлексии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3-й уровень (7 баллов):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уроке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применяются запланированные формы обучения и диагностические задания. </w:t>
      </w:r>
      <w:proofErr w:type="gram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Итоговая</w:t>
      </w:r>
      <w:proofErr w:type="gram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экспресс-диагностика результатов учащихся проведена. Проводится самооценка на основе предварительного обсуждения критериев оценки. «Правильные ответы» учеников принимаются сразу, не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проблематизируются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(сценарная оперативная диагностика не проводится), неправильные ответы, не соответствующие плану урока, игнорируются или отбрасываются.</w:t>
      </w:r>
    </w:p>
    <w:p w:rsidR="00923837" w:rsidRPr="00115114" w:rsidRDefault="00645A6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4-й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уровень (10 баллов)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(сценарный уровень):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на уроке осуществляется работа с пониманием и вариантами непонимания учащихся. Проводится оперативная педагогическая диагностика (подготовленная до урока и сценарная, по ходу урока), при необходимости вносятся изменения в запланированные формы обучения (например, вторичный переход к групповой работе для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доуточнения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группой задачи или уже полученного способа и т.п.).</w:t>
      </w:r>
    </w:p>
    <w:p w:rsidR="00972136" w:rsidRPr="00115114" w:rsidRDefault="00972136" w:rsidP="00972136">
      <w:pPr>
        <w:spacing w:after="0"/>
        <w:ind w:left="36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</w:pP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</w:rPr>
        <w:t xml:space="preserve">Критерий: </w:t>
      </w:r>
      <w:r w:rsidRPr="00115114">
        <w:rPr>
          <w:rFonts w:ascii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u w:val="single"/>
        </w:rPr>
        <w:t>соответствие используемых методов обучения (репродуктивных, продуктивных) цели урока, данным педагогической и психологической диагностики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1-й уровень (1 балл):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соответствие выбора учителем для данного этапа урока репродуктивных и (или) продуктивных методов целям урока и особенностям изучаемой единицы содержания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lastRenderedPageBreak/>
        <w:t xml:space="preserve">2-й (4 балла):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соответствие выбора планируемых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уроке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репродуктивных и продуктивных методов данным психологической диагностики (особенностям контингента учащихся) и педагогической диагностики (типов ошибок, вариантов понимания конкретных учащихся) на предыдущих этапах обучения 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3-й (7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запланированные методы предполагают включение ученика на всех этапах его деятельности: постановка учебной задачи, планирование и осуществление действий по её решению, самоконтроль, самооценка,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самокоррекция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.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На уроке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учитель следует плану: применяет запланированные методы обучения, без учёта разворачивающейся образовательной ситуации. </w:t>
      </w:r>
    </w:p>
    <w:p w:rsidR="00972136" w:rsidRPr="00115114" w:rsidRDefault="00972136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>4-й (сценарный уровень) (10 баллов):</w:t>
      </w:r>
      <w:r w:rsidRPr="00115114">
        <w:rPr>
          <w:rFonts w:ascii="Times New Roman" w:hAnsi="Times New Roman" w:cs="Times New Roman"/>
          <w:i/>
          <w:iCs/>
          <w:color w:val="244061" w:themeColor="accent1" w:themeShade="80"/>
          <w:sz w:val="24"/>
          <w:szCs w:val="24"/>
        </w:rPr>
        <w:t xml:space="preserve">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сценарное изменение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</w:rPr>
        <w:t>по ходу урока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запланированных методов обучения при необходимости, в соответствии с данными оперативной педагогической диагностики (например, переход от запланированных репродуктивных методов к продуктивным– </w:t>
      </w:r>
      <w:proofErr w:type="gram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</w:t>
      </w:r>
      <w:proofErr w:type="gram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исковым, проблемным - в случае необходимости: для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доопределения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задач или уточнения, </w:t>
      </w:r>
      <w:proofErr w:type="spellStart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перепроектирования</w:t>
      </w:r>
      <w:proofErr w:type="spellEnd"/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уже полученного, но «не работающего» способа и др.)</w:t>
      </w:r>
    </w:p>
    <w:p w:rsidR="00972136" w:rsidRPr="00115114" w:rsidRDefault="00972136" w:rsidP="00972136">
      <w:pPr>
        <w:spacing w:after="0"/>
        <w:ind w:left="360"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u w:val="single"/>
        </w:rPr>
        <w:t>Самоанализ урока</w:t>
      </w:r>
    </w:p>
    <w:p w:rsidR="00923837" w:rsidRPr="00115114" w:rsidRDefault="00645A66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1-й уровень (1 балл):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учителем подготовлен самоанализ урока как формальный пересказ;</w:t>
      </w:r>
    </w:p>
    <w:p w:rsidR="00923837" w:rsidRPr="00115114" w:rsidRDefault="00645A66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2-й (2 - 4 балла):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 ходе анализа и рефлексии дано обоснование отдельных параметров урока;</w:t>
      </w:r>
    </w:p>
    <w:p w:rsidR="00923837" w:rsidRPr="00115114" w:rsidRDefault="00645A66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3-й (7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 ходе анализа и рефлексии дано обоснование всех позиций анализа урока, выдержана логика «цель – средства – результат»;</w:t>
      </w: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923837" w:rsidRPr="00115114" w:rsidRDefault="00645A66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115114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4-й (сценарный уровень) (10 баллов): </w:t>
      </w:r>
      <w:r w:rsidRPr="0011511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учитель в ходе анализа и рефлексии продемонстрировал способность самостоятельного адекватного обоснования всех структурных элементов урока – с учетом изменений плана: с различением замысла и реализации урока, запланированных и достигнутых учащимися результатов.</w:t>
      </w:r>
    </w:p>
    <w:p w:rsidR="00F77F35" w:rsidRPr="00115114" w:rsidRDefault="00F77F35" w:rsidP="00972136">
      <w:pPr>
        <w:spacing w:after="0"/>
        <w:ind w:left="36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F77F35" w:rsidRPr="00115114" w:rsidRDefault="00F77F35" w:rsidP="00972136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F77F35" w:rsidRPr="00115114" w:rsidSect="00972136"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2CC"/>
    <w:multiLevelType w:val="hybridMultilevel"/>
    <w:tmpl w:val="D99A7DEA"/>
    <w:lvl w:ilvl="0" w:tplc="FD8EDD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E35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B48E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8C5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888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0CC0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252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B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0F9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E0309"/>
    <w:multiLevelType w:val="hybridMultilevel"/>
    <w:tmpl w:val="4E4E8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316D"/>
    <w:multiLevelType w:val="hybridMultilevel"/>
    <w:tmpl w:val="A95A9176"/>
    <w:lvl w:ilvl="0" w:tplc="F74E12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627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82E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8A11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42C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4E9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2F1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84F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6F5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840A5"/>
    <w:multiLevelType w:val="hybridMultilevel"/>
    <w:tmpl w:val="7D2C7442"/>
    <w:lvl w:ilvl="0" w:tplc="6B3C33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B2E8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22B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875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08B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083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4AC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46F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09B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9C2240"/>
    <w:multiLevelType w:val="hybridMultilevel"/>
    <w:tmpl w:val="43F0B30C"/>
    <w:lvl w:ilvl="0" w:tplc="66AAFB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8D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63A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24A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661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034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D2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827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223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A4B24"/>
    <w:multiLevelType w:val="hybridMultilevel"/>
    <w:tmpl w:val="1332E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27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C86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8B0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C6C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D6D3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E46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A5A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083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A083D"/>
    <w:multiLevelType w:val="hybridMultilevel"/>
    <w:tmpl w:val="E35C0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E6A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CA0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1A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817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4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65C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289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69E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20B98"/>
    <w:multiLevelType w:val="hybridMultilevel"/>
    <w:tmpl w:val="F6BC48CA"/>
    <w:lvl w:ilvl="0" w:tplc="EA0E9B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20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24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491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E2E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91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228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7AE8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C97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4245A4"/>
    <w:multiLevelType w:val="hybridMultilevel"/>
    <w:tmpl w:val="DEB6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D42F1"/>
    <w:multiLevelType w:val="hybridMultilevel"/>
    <w:tmpl w:val="4D2ADC0E"/>
    <w:lvl w:ilvl="0" w:tplc="B49C5F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4A8DA9C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3B800938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E28C9A8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AFAD538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60643C9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CF5EC4A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0DC64C6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5B507D42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41935606"/>
    <w:multiLevelType w:val="hybridMultilevel"/>
    <w:tmpl w:val="DD26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27F5"/>
    <w:multiLevelType w:val="hybridMultilevel"/>
    <w:tmpl w:val="6EB0F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40FD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659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AB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43D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CA2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823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CE7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24E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897780"/>
    <w:multiLevelType w:val="hybridMultilevel"/>
    <w:tmpl w:val="7DD857E0"/>
    <w:lvl w:ilvl="0" w:tplc="C4F216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871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8C33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6B0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21E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E95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01C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8FB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EF5E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53CB5"/>
    <w:multiLevelType w:val="hybridMultilevel"/>
    <w:tmpl w:val="78D2A1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67065"/>
    <w:multiLevelType w:val="hybridMultilevel"/>
    <w:tmpl w:val="29E6A9E4"/>
    <w:lvl w:ilvl="0" w:tplc="14988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846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60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E17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AB4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A2A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87D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26B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A15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6D61F6"/>
    <w:multiLevelType w:val="hybridMultilevel"/>
    <w:tmpl w:val="F320C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2F3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A19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65A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CBE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E9D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C81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C66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2A3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A166C2"/>
    <w:multiLevelType w:val="hybridMultilevel"/>
    <w:tmpl w:val="00BA1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89C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673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0D7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CF9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8F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624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E68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2D9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403F59"/>
    <w:multiLevelType w:val="hybridMultilevel"/>
    <w:tmpl w:val="E53A7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EEC0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2FD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4DA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E6C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FAB2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E61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284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AE9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113D92"/>
    <w:multiLevelType w:val="hybridMultilevel"/>
    <w:tmpl w:val="B6D0FDA8"/>
    <w:lvl w:ilvl="0" w:tplc="B0E851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5CEE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782B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E466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25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062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81E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CD7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44A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962043"/>
    <w:multiLevelType w:val="hybridMultilevel"/>
    <w:tmpl w:val="D2AA5C8C"/>
    <w:lvl w:ilvl="0" w:tplc="EA6E11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2A6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AD5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243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40C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C94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8BE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E2D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5CE4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17"/>
  </w:num>
  <w:num w:numId="13">
    <w:abstractNumId w:val="6"/>
  </w:num>
  <w:num w:numId="14">
    <w:abstractNumId w:val="12"/>
  </w:num>
  <w:num w:numId="15">
    <w:abstractNumId w:val="0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F35"/>
    <w:rsid w:val="00115114"/>
    <w:rsid w:val="0015552A"/>
    <w:rsid w:val="001D1754"/>
    <w:rsid w:val="00645A66"/>
    <w:rsid w:val="00695966"/>
    <w:rsid w:val="00923837"/>
    <w:rsid w:val="00972136"/>
    <w:rsid w:val="00A01421"/>
    <w:rsid w:val="00CC7CC7"/>
    <w:rsid w:val="00D96615"/>
    <w:rsid w:val="00DC64A4"/>
    <w:rsid w:val="00EB19C8"/>
    <w:rsid w:val="00F7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05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6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4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82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7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1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2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75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51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22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06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8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83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3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86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38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713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89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54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50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1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6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57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468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154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32">
          <w:marLeft w:val="60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12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23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1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72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5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2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77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8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16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Наталья  Михайловна</cp:lastModifiedBy>
  <cp:revision>4</cp:revision>
  <cp:lastPrinted>2012-01-31T04:26:00Z</cp:lastPrinted>
  <dcterms:created xsi:type="dcterms:W3CDTF">2011-11-08T12:10:00Z</dcterms:created>
  <dcterms:modified xsi:type="dcterms:W3CDTF">2012-01-31T04:42:00Z</dcterms:modified>
</cp:coreProperties>
</file>